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2021-2022学年安徽省铜陵市八年级（上）期末物理试卷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一、填空题（本题共6小题，1-6题每空1分，7-10题每空2分，共23分）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1．奥运会10米气步枪的靶纸为总边长只有80毫米的正方形，我们常说的十环，也就是靶纸的靶心，其直径只有0.5毫米，合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微米；在决赛中包含每组150秒的连续射击，合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分钟。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2．如图甲，所测物体长度为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cm；如图乙，停表所示的时间是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s。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790950" cy="124777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1480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3．诗人白居易《琵琶行》中有“大弦嘈嘈如急雨，小弦切切如私语”，诗人听到弦声，是琴弦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产生的；若用其他乐器弹奏此曲，则声音的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不同。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4．如图所示，电影《长津湖》中趴在雪地上的中国人民志愿军“冰雕连”的士兵们岿然不动，从他们口中呼出的水蒸气在眉毛上结了一层厚厚的“霜”，其中“霜”的形成物态变化是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。在电影院各个座位上都能看到这个银幕上的画面，是因为光在银幕上发生了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（选填“漫反射”或“镜面反射”）。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62125" cy="1133475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5．航天员翟志刚、王亚平、叶光富搭乘神舟十三号飞船正在执行在轨驻留任务。在太空虽处于失重环境，与地面相比，他们的质量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（选填“变小”、“不变”或“变大”）。航天员通过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（选填“超声波”、“次声波”或“电磁波”）把来自太空的信息传回给祖国。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6．在探究“凸透镜成像规律”的实验中，如表是同学们实验时记录的几组数据，根据表中数据完成下列问题：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（1）此凸透镜的焦距为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cm；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（2）第3次实验中像距为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cm，判断依据是：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tbl>
      <w:tblPr>
        <w:tblStyle w:val="8"/>
        <w:tblW w:w="80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实验次序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物距u/cm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像距v/m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成像性质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30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倒立缩小实像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倒立等大实像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</w:t>
            </w: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0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倒立放大实像</w:t>
            </w:r>
          </w:p>
        </w:tc>
      </w:tr>
    </w:tbl>
    <w:p>
      <w:pPr>
        <w:spacing w:line="360" w:lineRule="auto"/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7．小明用一刻度尺对某一物体的长度进行了多次测量，测量值分别是2.34cm、2.36cm、2.45cm、2.36cm，此物体的长度应记作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cm。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8．联合国确定2021年“世界水日”主题是“ValuingWater”（珍惜水、爱护水）。水的密度为1.0×10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，其物理意义是：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9．如图，小明想让室外太阳光照射到盆中花上的B处，请你在图中把光路补充完整并过A点画出放置的平面镜。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33500" cy="1266825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10．在平静的湖边有一盏路灯标记为S，潜水爱好者在水下E处看到路灯的像为S'。请画出水下E处的人看到路灯S的光路图。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62125" cy="135255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11．把一个实心金属铜块放入盛满水的杯子中，从杯中溢出水20g；再把该铜块擦干后轻轻放入另一盛满酒精的杯子中，则从杯中溢出酒精的质量是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g。（已知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酒</w:t>
      </w:r>
      <w:r>
        <w:rPr>
          <w:rFonts w:hint="eastAsia" w:ascii="Times New Roman" w:hAnsi="Times New Roman" w:eastAsia="新宋体"/>
          <w:szCs w:val="21"/>
        </w:rPr>
        <w:t>＝0.8×10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二.选择题（本题共10小题，每题3分，共30分）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12．用刻度尺测量物理课本的长，以下哪个是产生误差的原因（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A．观察刻度尺时，视线没有跟刻度尺尺面垂直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B．刻度尺没有跟课本的长边平行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C．读数时，最小刻度的下一位数值估计不准确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D．刻度尺的刻度线没有紧贴课本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13．在学习了物理知识后，以下数据最接近实际的是（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A．铜陵地区冬季气温可达﹣20℃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B．人耳刚刚能听到的声音为0dB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C．百米赛跑中运动员用8s跑完全程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D．一名中学生的体积大约是500dm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14．关于声的应用，下列说法不正确的是（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A．声波能够传递能量，外科医生利用超声波振动击碎人体内结石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B．超声波和次声波已被广泛应用，是因为它们不会对人体造成损害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C．利用台风产生的次声波判断台风的风向和位置，使航船及早躲到安全区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D．中医诊病通过“望、闻、问、切”四个途径，其中“闻”是利用声音获得身体各方面的信息的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15．如图所示，用手机摄像头扫描商家支付宝收款二维码，可快速完成线上付款，当手机扫描该二维码，下列说法正确的是（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19250" cy="1095375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476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A．二维码是光源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B．二维码位于摄像头的二倍焦距以外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C．摄像头相当于近视眼镜的镜片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D．二维码中黑色部分反射光，白色部分吸收光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16．如图容器内盛有水，容器的下方有一阀门K，一束与水平方向成40°角的入射光由空气射入水中，在容器底部形成光斑。打开阀门让水从小孔慢慢流出，在水流出的过程中，观察到的光斑的移动方向（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57350" cy="1085850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A．向左移动</w:t>
      </w:r>
      <w:r>
        <w:tab/>
      </w:r>
      <w:r>
        <w:rPr>
          <w:rFonts w:hint="eastAsia" w:ascii="Times New Roman" w:hAnsi="Times New Roman" w:eastAsia="新宋体"/>
          <w:szCs w:val="21"/>
        </w:rPr>
        <w:t>B．向右移动</w:t>
      </w:r>
      <w:r>
        <w:tab/>
      </w:r>
      <w:r>
        <w:rPr>
          <w:rFonts w:hint="eastAsia" w:ascii="Times New Roman" w:hAnsi="Times New Roman" w:eastAsia="新宋体"/>
          <w:szCs w:val="21"/>
        </w:rPr>
        <w:t>C．不移动</w:t>
      </w:r>
      <w:r>
        <w:tab/>
      </w:r>
      <w:r>
        <w:rPr>
          <w:rFonts w:hint="eastAsia" w:ascii="Times New Roman" w:hAnsi="Times New Roman" w:eastAsia="新宋体"/>
          <w:szCs w:val="21"/>
        </w:rPr>
        <w:t>D．无法判断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17．沙画是将沙子洒在平板灯台上做出各种造型的艺术，灯台下方射出的光受到沙子的阻挡后，呈现出各种画面。如图所示，下列现象与沙画的光学原理相同的是（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43050" cy="115252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66800" cy="107632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杯弓蛇影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38225" cy="116205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水中倒影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23950" cy="1133475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日食形成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47775" cy="119062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海市蜃楼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18．在探究凸透镜成像规律的实验中，当烛焰、凸透镜、光屏位于如图所示的位置时，烛焰在光屏上呈现一个清晰放大的像。要使烛焰在光屏上呈现一个清晰缩小的像，下列做法中，可行的是（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819400" cy="971550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794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A．透镜不动，蜡烛靠近透镜移动，光屏远离透镜移动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B．透镜不动，蜡烛远离透镜移动，光屏远离透镜移动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C．蜡烛、光屏都不动，透镜向光屏方向移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D．蜡烛、光屏都不动，透镜向蜡烛方向移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19．在防范新冠肺炎的疫情中，体温计发挥了重要作用。如图所示的是一支常用体温计，下列关于该体温计的说法中错误的是（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181475" cy="371475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A．它的示数是3℃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B．它的分度值是1℃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C．它能离开被测物体读数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D．它是根据液体热胀冷缩规律制成的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是一件3D打印工艺品。3D打印机的喷头在高能激光的作用下，使固态树脂吸收热量变成液态。喷头按照图纸运动，同时将液态材料挤出，液态材料迅速变成固态，就这样层层叠加组成了立体实物的工艺品。在上述过程中，先后发生的物态变化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04925" cy="109537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A．升华和凝华</w:t>
      </w:r>
      <w:r>
        <w:tab/>
      </w:r>
      <w:r>
        <w:rPr>
          <w:rFonts w:hint="eastAsia" w:ascii="Times New Roman" w:hAnsi="Times New Roman" w:eastAsia="新宋体"/>
          <w:szCs w:val="21"/>
        </w:rPr>
        <w:t>B．汽化和液化</w:t>
      </w:r>
      <w:r>
        <w:tab/>
      </w:r>
      <w:r>
        <w:rPr>
          <w:rFonts w:hint="eastAsia" w:ascii="Times New Roman" w:hAnsi="Times New Roman" w:eastAsia="新宋体"/>
          <w:szCs w:val="21"/>
        </w:rPr>
        <w:t>C．液化和凝固</w:t>
      </w:r>
      <w:r>
        <w:tab/>
      </w:r>
      <w:r>
        <w:rPr>
          <w:rFonts w:hint="eastAsia" w:ascii="Times New Roman" w:hAnsi="Times New Roman" w:eastAsia="新宋体"/>
          <w:szCs w:val="21"/>
        </w:rPr>
        <w:t>D．熔化和凝固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21．空气的成分按体积计算，氮气约占78%，氧气约占21%，根据下表中一些气体密度估算你所在教室里空气的质量，合理的是（　　）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21"/>
        <w:gridCol w:w="1617"/>
        <w:gridCol w:w="1616"/>
        <w:gridCol w:w="1616"/>
        <w:gridCol w:w="161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2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物质</w:t>
            </w:r>
          </w:p>
        </w:tc>
        <w:tc>
          <w:tcPr>
            <w:tcW w:w="1617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氮气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氧气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二氧化碳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氢气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2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密度/（kg•m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﹣3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  <w:tc>
          <w:tcPr>
            <w:tcW w:w="1617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1.25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1.43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1.98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0.09</w:t>
            </w:r>
          </w:p>
        </w:tc>
      </w:tr>
    </w:tbl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A．20kg</w:t>
      </w:r>
      <w:r>
        <w:tab/>
      </w:r>
      <w:r>
        <w:rPr>
          <w:rFonts w:hint="eastAsia" w:ascii="Times New Roman" w:hAnsi="Times New Roman" w:eastAsia="新宋体"/>
          <w:szCs w:val="21"/>
        </w:rPr>
        <w:t>B．200kg</w:t>
      </w:r>
      <w:r>
        <w:tab/>
      </w:r>
      <w:r>
        <w:rPr>
          <w:rFonts w:hint="eastAsia" w:ascii="Times New Roman" w:hAnsi="Times New Roman" w:eastAsia="新宋体"/>
          <w:szCs w:val="21"/>
        </w:rPr>
        <w:t>C．1000kg</w:t>
      </w:r>
      <w:r>
        <w:tab/>
      </w:r>
      <w:r>
        <w:rPr>
          <w:rFonts w:hint="eastAsia" w:ascii="Times New Roman" w:hAnsi="Times New Roman" w:eastAsia="新宋体"/>
          <w:szCs w:val="21"/>
        </w:rPr>
        <w:t>D．2.0×10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kg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三、实验题（本题共3小题，每空2分，共26分）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22．下面是进行“探究平面镜成像特点”的活动过程：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295650" cy="1400175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110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（1）如图所示，组装仪器时要使玻璃板与水平桌面的白纸板相互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（选填“平行”或“垂直”）；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（2）在实验中，小红看到两个不重合的蜡烛A的像，为了消除这个影响，下列做法可行的是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A.换用较薄的玻璃板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B.换用较厚的玻璃板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C.调整观察蜡烛A的像的角度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（3）消除影响后，移动蜡烛A逐渐靠近玻璃板，它的像的大小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（选填“变大”、“不变”或“变小”）；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（4）经过三次实验，记录的像与物对应的位置如图乙所示。为了得到更完整的实验结论，接下来小明应该进行的操作是：将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，判断连线是否和镜面垂直，测出像距和物距并进行比较。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23．用图甲的装置做“观察水的沸腾”实验：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（1）图甲组装器材时，放置石棉网的铁圈B和悬挂温度计的铁夹A位置很重要，应当先调整固定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的位置（选填“铁圈”或“铁夹”）；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（2）当水沸腾时，观察到烧杯内产生大量气泡并不断上升，体积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（选填“变大”、“变小”或“不变”）；实验完毕，小明撤去酒精灯后发现水继续沸腾了一段时间，原因可能是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（3）在同样的环境下，给一大杯滚烫的热水降温，现有两种方法：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先让滚烫的热水冷却5min，然后加一小杯冷水；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先在滚烫的热水中加入一小杯冷水，然后冷却5min。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结合图乙提供的信息，分析可知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A.方法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冷却效果较好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B.方法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冷却效果较好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C.两种方法冷却效果相同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324225" cy="1695450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24．为预防新冠肺炎，小明用密度为0.8g/cm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的纯酒精配制了浓度为75%的酒精，他查阅资料得知浓度为75%的医用酒精的密度为0.87g/cm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，为检验自己配制的酒精是否合格，他进行了如下实验和分析：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744085" cy="1600200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（1）将天平放在水平台上并将游码移至标尺左端的零刻度线上，横梁静止时指针如图甲所示，此时应将横梁右端的平衡螺母向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（选填“左”或“右”）调节，使横梁在水平位置平衡。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（2）将适量配制的酒精倒入烧杯中，并用天平测量烧杯和酒精的总质量，通过加减砝码的一番操作，当小明将砝码盒中最小的砝码放入右盘后，横梁指针仍如图甲所示，接下来他应该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（选填序号）。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A.向右调节平衡螺母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B.向右移动游码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C.取下最小的砝码后移动游码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（3）测出烧杯和酒精的总质量为98g后，将烧杯中的一部分酒精倒入量筒，如图乙所示，则量筒中酒精的体积为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（4）测量烧杯和剩余酒精的总质量，天平横梁平衡时如图丙所示，则烧杯和剩余酒精的总质量为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g，小明配制的酒精的密度为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g/cm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四、计算与推导题（本题共3小题，第24题6分，第25题7分，第26题8分，共21分）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25．我们知道声音在不同介质中传播的速度不同。阅读下表中一些介质中的声速，完成下列问题：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（1）声音在介质中的传播速度有什么规律（写出两条）？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（2）在长为884m的金属管的一端敲击一下，在另一端先后听到两个声音，两声相陋2.43s。声音在金属管中的传播速度是多大？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（3）该金属管可能是由什么材料制成的？（此时气温约为15℃）。</w:t>
      </w:r>
    </w:p>
    <w:tbl>
      <w:tblPr>
        <w:tblStyle w:val="8"/>
        <w:tblW w:w="80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  <w:gridSpan w:val="4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一些介质中的声速v（m•s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>﹣1</w:t>
            </w:r>
            <w:r>
              <w:rPr>
                <w:rFonts w:hint="eastAsia" w:ascii="Times New Roman" w:hAnsi="Times New Roman" w:eastAsia="新宋体"/>
                <w:szCs w:val="21"/>
              </w:rPr>
              <w:t>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空气（0℃）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331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冰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3230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空气（15℃）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340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铜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3750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煤油（25℃）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1324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铝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水（常温）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1500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铁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5200</w:t>
            </w:r>
          </w:p>
        </w:tc>
      </w:tr>
    </w:tbl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26．小刚分别利用“作图法”和“实验法”来研究凸透镜成像相关问题。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（1）请你在图甲中画出点光源S通过凸透镜所成的像的位置S'。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686935" cy="1152525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954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（2）运用“实验法”研究凸透镜成像规律，当三个元件移动到如图乙所示的位置时，光屏上出现了清晰的缩小实像，请分析计算该凸透镜焦距的大致范围。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27．如图所示，两个完全相同的圆柱形容器A与B，它们的底面积为100cm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，高8cm，放在水平桌面上，已知A容器装有4cm深的水，B容器酒精的质量与A容器中水的质量相等。求：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（1）A容器中水的质量；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（2）B容器中酒精的体积；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在A容器的水中浸没一块铝块，在B容器的酒精中浸没一块质量为3160g的铁块，如果将B容器中溢出的酒精倒入A容器，恰好使A容器的液面与杯口相平，则A容器中铝块的体积为多少？（不考虑酒精与水混合后体积的变化，不计酒精的损耗，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酒</w:t>
      </w:r>
      <w:r>
        <w:rPr>
          <w:rFonts w:hint="eastAsia" w:ascii="Times New Roman" w:hAnsi="Times New Roman" w:eastAsia="新宋体"/>
          <w:szCs w:val="21"/>
        </w:rPr>
        <w:t>＝0.8×10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铁</w:t>
      </w:r>
      <w:r>
        <w:rPr>
          <w:rFonts w:hint="eastAsia" w:ascii="Times New Roman" w:hAnsi="Times New Roman" w:eastAsia="新宋体"/>
          <w:szCs w:val="21"/>
        </w:rPr>
        <w:t>＝7.9×10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52600" cy="1123950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80"/>
    <w:rsid w:val="002B43B2"/>
    <w:rsid w:val="00ED02A4"/>
    <w:rsid w:val="00FF2E80"/>
    <w:rsid w:val="6F7E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1E332E-3812-4312-A351-CF663235A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2081</Words>
  <Characters>2228</Characters>
  <Lines>123</Lines>
  <Paragraphs>148</Paragraphs>
  <TotalTime>3</TotalTime>
  <ScaleCrop>false</ScaleCrop>
  <LinksUpToDate>false</LinksUpToDate>
  <CharactersWithSpaces>4161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2022-01-22T02:50:00Z</dcterms:created>
  <dc:creator>老倪膏药(招代理)</dc:creator>
  <cp:lastModifiedBy>老倪膏药(招代理)</cp:lastModifiedBy>
  <cp:lastPrinted>2022-01-22T07:49:00Z</cp:lastPrinted>
  <dcterms:modified xsi:type="dcterms:W3CDTF">2022-02-05T11:46:18Z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